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305983E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w:t>
      </w:r>
      <w:r w:rsidR="00A16AEC" w:rsidRPr="00B93F9D">
        <w:rPr>
          <w:rFonts w:ascii="Arial" w:hAnsi="Arial" w:cs="Arial"/>
          <w:b/>
          <w:sz w:val="24"/>
        </w:rPr>
        <w:t xml:space="preserve"> #106</w:t>
      </w:r>
      <w:r w:rsidR="00A16AEC">
        <w:rPr>
          <w:rFonts w:ascii="Arial" w:hAnsi="Arial" w:cs="Arial"/>
          <w:b/>
          <w:sz w:val="24"/>
        </w:rPr>
        <w:t>bis</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182642" w:rsidRPr="00182642">
        <w:rPr>
          <w:rFonts w:ascii="Arial" w:eastAsia="MS Mincho" w:hAnsi="Arial" w:cs="Arial"/>
          <w:b/>
          <w:sz w:val="24"/>
          <w:szCs w:val="24"/>
        </w:rPr>
        <w:t>06584</w:t>
      </w:r>
    </w:p>
    <w:p w14:paraId="5E8E6D34" w14:textId="77777777" w:rsidR="00A16AEC" w:rsidRPr="008A2856" w:rsidRDefault="00A16AEC" w:rsidP="00A16AEC">
      <w:pPr>
        <w:tabs>
          <w:tab w:val="left" w:pos="2160"/>
        </w:tabs>
        <w:rPr>
          <w:rFonts w:ascii="Arial" w:hAnsi="Arial" w:cs="Arial"/>
          <w:b/>
        </w:rPr>
      </w:pPr>
      <w:r>
        <w:rPr>
          <w:rFonts w:ascii="Arial" w:hAnsi="Arial" w:cs="Arial"/>
          <w:b/>
          <w:sz w:val="24"/>
        </w:rPr>
        <w:t>Online</w:t>
      </w:r>
      <w:r w:rsidRPr="00B93F9D">
        <w:rPr>
          <w:rFonts w:ascii="Arial" w:hAnsi="Arial" w:cs="Arial"/>
          <w:b/>
          <w:sz w:val="24"/>
        </w:rPr>
        <w:t xml:space="preserve">, </w:t>
      </w:r>
      <w:r>
        <w:rPr>
          <w:rFonts w:ascii="Arial" w:hAnsi="Arial" w:cs="Arial"/>
          <w:b/>
          <w:sz w:val="24"/>
        </w:rPr>
        <w:t>April</w:t>
      </w:r>
      <w:r w:rsidRPr="00B93F9D">
        <w:rPr>
          <w:rFonts w:ascii="Arial" w:hAnsi="Arial" w:cs="Arial"/>
          <w:b/>
          <w:sz w:val="24"/>
        </w:rPr>
        <w:t xml:space="preserve"> </w:t>
      </w:r>
      <w:r>
        <w:rPr>
          <w:rFonts w:ascii="Arial" w:hAnsi="Arial" w:cs="Arial"/>
          <w:b/>
          <w:sz w:val="24"/>
        </w:rPr>
        <w:t>1</w:t>
      </w:r>
      <w:r w:rsidRPr="00B93F9D">
        <w:rPr>
          <w:rFonts w:ascii="Arial" w:hAnsi="Arial" w:cs="Arial"/>
          <w:b/>
          <w:sz w:val="24"/>
        </w:rPr>
        <w:t>7</w:t>
      </w:r>
      <w:r w:rsidRPr="00491279">
        <w:rPr>
          <w:rFonts w:ascii="Arial" w:hAnsi="Arial" w:cs="Arial"/>
          <w:b/>
          <w:sz w:val="24"/>
          <w:vertAlign w:val="superscript"/>
        </w:rPr>
        <w:t>th</w:t>
      </w:r>
      <w:r w:rsidRPr="00B93F9D">
        <w:rPr>
          <w:rFonts w:ascii="Arial" w:hAnsi="Arial" w:cs="Arial"/>
          <w:b/>
          <w:sz w:val="24"/>
        </w:rPr>
        <w:t xml:space="preserve"> – </w:t>
      </w:r>
      <w:r>
        <w:rPr>
          <w:rFonts w:ascii="Arial" w:hAnsi="Arial" w:cs="Arial"/>
          <w:b/>
          <w:sz w:val="24"/>
        </w:rPr>
        <w:t>26</w:t>
      </w:r>
      <w:r>
        <w:rPr>
          <w:rFonts w:ascii="Arial" w:hAnsi="Arial" w:cs="Arial"/>
          <w:b/>
          <w:sz w:val="24"/>
          <w:vertAlign w:val="superscript"/>
        </w:rPr>
        <w:t>th</w:t>
      </w:r>
      <w:r w:rsidRPr="00B93F9D">
        <w:rPr>
          <w:rFonts w:ascii="Arial" w:hAnsi="Arial" w:cs="Arial"/>
          <w:b/>
          <w:sz w:val="24"/>
        </w:rPr>
        <w:t xml:space="preserve"> 2023</w:t>
      </w:r>
    </w:p>
    <w:p w14:paraId="1226C057" w14:textId="0DA6008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16AEC" w:rsidRPr="00A16AEC">
        <w:rPr>
          <w:rFonts w:ascii="Arial" w:hAnsi="Arial" w:cs="Arial"/>
          <w:sz w:val="22"/>
          <w:lang w:eastAsia="zh-CN"/>
        </w:rPr>
        <w:t>WF on handling of the missing fallbacks</w:t>
      </w:r>
    </w:p>
    <w:p w14:paraId="73AD8CE3" w14:textId="43A66B9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16AEC" w:rsidRPr="00A16AEC">
        <w:rPr>
          <w:rFonts w:ascii="Arial" w:hAnsi="Arial" w:cs="Arial"/>
          <w:sz w:val="22"/>
          <w:lang w:eastAsia="zh-CN"/>
        </w:rPr>
        <w:t>5.1.4</w:t>
      </w:r>
    </w:p>
    <w:p w14:paraId="6402E503" w14:textId="7D50F4B1"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A16AEC" w:rsidRPr="00A8685B">
        <w:rPr>
          <w:rFonts w:ascii="Arial" w:hAnsi="Arial" w:cs="Arial"/>
          <w:bCs/>
          <w:sz w:val="22"/>
        </w:rPr>
        <w:t>Apple</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04B507B" w14:textId="77777777" w:rsidR="00A16AEC" w:rsidRDefault="00A16AEC" w:rsidP="00A16AEC">
      <w:pPr>
        <w:pStyle w:val="Heading1"/>
      </w:pPr>
      <w:r>
        <w:t>1 Background</w:t>
      </w:r>
    </w:p>
    <w:p w14:paraId="2AD701ED" w14:textId="77777777" w:rsidR="00A16AEC" w:rsidRPr="00A16AEC" w:rsidRDefault="00A16AEC" w:rsidP="00A16AEC">
      <w:pPr>
        <w:ind w:left="360"/>
        <w:rPr>
          <w:lang w:val="en-DE" w:eastAsia="zh-CN"/>
        </w:rPr>
      </w:pPr>
      <w:r w:rsidRPr="00A16AEC">
        <w:rPr>
          <w:lang w:val="en-US" w:eastAsia="zh-CN"/>
        </w:rPr>
        <w:t>Within the specifications 36.101, 38.101-1, 38.101-2 and 38.101-3 there are many band combinations specified for which the fallback combinations are missing</w:t>
      </w:r>
    </w:p>
    <w:p w14:paraId="1571A429" w14:textId="77777777" w:rsidR="00A16AEC" w:rsidRPr="00A16AEC" w:rsidRDefault="00A16AEC" w:rsidP="00A16AEC">
      <w:pPr>
        <w:ind w:left="360"/>
        <w:rPr>
          <w:lang w:val="en-DE" w:eastAsia="zh-CN"/>
        </w:rPr>
      </w:pPr>
      <w:r w:rsidRPr="00A16AEC">
        <w:rPr>
          <w:lang w:val="en-US" w:eastAsia="zh-CN"/>
        </w:rPr>
        <w:t>There is the general rule in 3GPP specifications that the fallbacks need to be specified in the 3GPP specs and (with minor exceptions) supported by the UEs</w:t>
      </w:r>
    </w:p>
    <w:p w14:paraId="43B3822D" w14:textId="77777777" w:rsidR="00A16AEC" w:rsidRPr="00A16AEC" w:rsidRDefault="00A16AEC" w:rsidP="00A16AEC">
      <w:pPr>
        <w:ind w:left="360"/>
        <w:rPr>
          <w:lang w:val="en-DE" w:eastAsia="zh-CN"/>
        </w:rPr>
      </w:pPr>
      <w:r w:rsidRPr="00A16AEC">
        <w:rPr>
          <w:lang w:val="en-US" w:eastAsia="zh-CN"/>
        </w:rPr>
        <w:t>Some of the missing fallbacks may be just added to the band combinations tables with a CR, others may need further checks and specifications work, for example for A-MPR or MSD</w:t>
      </w:r>
    </w:p>
    <w:p w14:paraId="5895C48C" w14:textId="77777777" w:rsidR="00A16AEC" w:rsidRPr="00A16AEC" w:rsidRDefault="00A16AEC" w:rsidP="00A16AEC">
      <w:pPr>
        <w:ind w:left="360"/>
        <w:rPr>
          <w:lang w:val="en-DE" w:eastAsia="zh-CN"/>
        </w:rPr>
      </w:pPr>
      <w:r w:rsidRPr="00A16AEC">
        <w:rPr>
          <w:lang w:val="en-US" w:eastAsia="zh-CN"/>
        </w:rPr>
        <w:t>Although there have many rules been set up and documented in the past, there is still a high number of missing fallbacks, so more action is needed to ensure all fallbacks are specified</w:t>
      </w:r>
    </w:p>
    <w:p w14:paraId="12B7C38B" w14:textId="77777777" w:rsidR="00A16AEC" w:rsidRDefault="00A16AEC" w:rsidP="00A16AEC">
      <w:pPr>
        <w:pStyle w:val="Heading1"/>
      </w:pPr>
      <w:r>
        <w:t>2 Way forward</w:t>
      </w:r>
    </w:p>
    <w:p w14:paraId="30890CF4" w14:textId="77777777" w:rsidR="00A16AEC" w:rsidRPr="00A16AEC" w:rsidRDefault="00A16AEC" w:rsidP="00A16AEC">
      <w:pPr>
        <w:pStyle w:val="B1"/>
        <w:ind w:left="360" w:firstLine="0"/>
        <w:rPr>
          <w:b/>
          <w:lang w:val="en-DE" w:eastAsia="zh-CN"/>
        </w:rPr>
      </w:pPr>
      <w:r w:rsidRPr="00A16AEC">
        <w:rPr>
          <w:b/>
          <w:lang w:val="en-US" w:eastAsia="zh-CN"/>
        </w:rPr>
        <w:t>For the older releases of the specification, missing fallbacks can be added to 36.101, 38.101-1, 38.101-2 and 38.101-3 with a TEI CR to this older release</w:t>
      </w:r>
    </w:p>
    <w:p w14:paraId="14C2CAAE" w14:textId="77777777" w:rsidR="00A16AEC" w:rsidRPr="00A16AEC" w:rsidRDefault="00A16AEC" w:rsidP="00A16AEC">
      <w:pPr>
        <w:pStyle w:val="B1"/>
        <w:ind w:left="360" w:firstLine="0"/>
        <w:rPr>
          <w:b/>
          <w:lang w:val="en-DE" w:eastAsia="zh-CN"/>
        </w:rPr>
      </w:pPr>
      <w:r w:rsidRPr="00A16AEC">
        <w:rPr>
          <w:b/>
          <w:lang w:val="en-US" w:eastAsia="zh-CN"/>
        </w:rPr>
        <w:t>For the active release, if there are missing fallback combinations detected in the specifications, the missing fallbacks can be requested just as any other combination in the usual request sheet, but they need to be marked as missing fallback</w:t>
      </w:r>
    </w:p>
    <w:p w14:paraId="4C16C6BE" w14:textId="24ED7475" w:rsidR="00A8685B" w:rsidRDefault="00A8685B" w:rsidP="00A8685B">
      <w:pPr>
        <w:pStyle w:val="Heading1"/>
      </w:pPr>
      <w:r>
        <w:t>3 References</w:t>
      </w:r>
    </w:p>
    <w:p w14:paraId="554C1F41" w14:textId="77777777" w:rsidR="00A8685B" w:rsidRPr="00A8685B" w:rsidRDefault="00A8685B" w:rsidP="00A8685B">
      <w:pPr>
        <w:pStyle w:val="B1"/>
        <w:rPr>
          <w:lang w:val="en-DE" w:eastAsia="zh-CN"/>
        </w:rPr>
      </w:pPr>
      <w:r w:rsidRPr="00A8685B">
        <w:rPr>
          <w:lang w:val="en-US" w:eastAsia="zh-CN"/>
        </w:rPr>
        <w:t xml:space="preserve">[1] R4-2304317 “Improvements on fallbacks for band combinations”, Apple, 3GPP TSG-RAN WG4 Meeting #106-e </w:t>
      </w:r>
    </w:p>
    <w:p w14:paraId="6457E6F7" w14:textId="77777777" w:rsidR="00A8685B" w:rsidRPr="00A8685B" w:rsidRDefault="00A8685B" w:rsidP="00A8685B">
      <w:pPr>
        <w:pStyle w:val="B1"/>
        <w:rPr>
          <w:lang w:val="en-DE" w:eastAsia="zh-CN"/>
        </w:rPr>
      </w:pPr>
      <w:r w:rsidRPr="00A8685B">
        <w:rPr>
          <w:lang w:val="en-US" w:eastAsia="zh-CN"/>
        </w:rPr>
        <w:t>[2] 36.101, 38.101</w:t>
      </w:r>
    </w:p>
    <w:p w14:paraId="4F781FA7" w14:textId="77777777" w:rsidR="00A8685B" w:rsidRDefault="00A8685B" w:rsidP="00A16AEC">
      <w:pPr>
        <w:pStyle w:val="B1"/>
        <w:ind w:left="0" w:firstLine="0"/>
        <w:rPr>
          <w:lang w:eastAsia="zh-CN"/>
        </w:rPr>
      </w:pPr>
    </w:p>
    <w:sectPr w:rsidR="00A8685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0AE8" w14:textId="77777777" w:rsidR="00B4348B" w:rsidRPr="00A10429" w:rsidRDefault="00B4348B" w:rsidP="0064547A">
      <w:pPr>
        <w:spacing w:after="0"/>
        <w:rPr>
          <w:kern w:val="2"/>
          <w:lang w:eastAsia="zh-CN"/>
        </w:rPr>
      </w:pPr>
      <w:r>
        <w:separator/>
      </w:r>
    </w:p>
  </w:endnote>
  <w:endnote w:type="continuationSeparator" w:id="0">
    <w:p w14:paraId="163B1438" w14:textId="77777777" w:rsidR="00B4348B" w:rsidRPr="00A10429" w:rsidRDefault="00B4348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E20CF" w14:textId="77777777" w:rsidR="00B4348B" w:rsidRPr="00A10429" w:rsidRDefault="00B4348B" w:rsidP="0064547A">
      <w:pPr>
        <w:spacing w:after="0"/>
        <w:rPr>
          <w:kern w:val="2"/>
          <w:lang w:eastAsia="zh-CN"/>
        </w:rPr>
      </w:pPr>
      <w:r>
        <w:separator/>
      </w:r>
    </w:p>
  </w:footnote>
  <w:footnote w:type="continuationSeparator" w:id="0">
    <w:p w14:paraId="43523311" w14:textId="77777777" w:rsidR="00B4348B" w:rsidRPr="00A10429" w:rsidRDefault="00B4348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B32714"/>
    <w:multiLevelType w:val="hybridMultilevel"/>
    <w:tmpl w:val="B1B27E28"/>
    <w:lvl w:ilvl="0" w:tplc="2A6A6FC8">
      <w:start w:val="1"/>
      <w:numFmt w:val="bullet"/>
      <w:lvlText w:val="•"/>
      <w:lvlJc w:val="left"/>
      <w:pPr>
        <w:tabs>
          <w:tab w:val="num" w:pos="720"/>
        </w:tabs>
        <w:ind w:left="720" w:hanging="360"/>
      </w:pPr>
      <w:rPr>
        <w:rFonts w:ascii="Arial" w:hAnsi="Arial" w:hint="default"/>
      </w:rPr>
    </w:lvl>
    <w:lvl w:ilvl="1" w:tplc="A43655FA" w:tentative="1">
      <w:start w:val="1"/>
      <w:numFmt w:val="bullet"/>
      <w:lvlText w:val="•"/>
      <w:lvlJc w:val="left"/>
      <w:pPr>
        <w:tabs>
          <w:tab w:val="num" w:pos="1440"/>
        </w:tabs>
        <w:ind w:left="1440" w:hanging="360"/>
      </w:pPr>
      <w:rPr>
        <w:rFonts w:ascii="Arial" w:hAnsi="Arial" w:hint="default"/>
      </w:rPr>
    </w:lvl>
    <w:lvl w:ilvl="2" w:tplc="BC94F50E" w:tentative="1">
      <w:start w:val="1"/>
      <w:numFmt w:val="bullet"/>
      <w:lvlText w:val="•"/>
      <w:lvlJc w:val="left"/>
      <w:pPr>
        <w:tabs>
          <w:tab w:val="num" w:pos="2160"/>
        </w:tabs>
        <w:ind w:left="2160" w:hanging="360"/>
      </w:pPr>
      <w:rPr>
        <w:rFonts w:ascii="Arial" w:hAnsi="Arial" w:hint="default"/>
      </w:rPr>
    </w:lvl>
    <w:lvl w:ilvl="3" w:tplc="BC884DD6" w:tentative="1">
      <w:start w:val="1"/>
      <w:numFmt w:val="bullet"/>
      <w:lvlText w:val="•"/>
      <w:lvlJc w:val="left"/>
      <w:pPr>
        <w:tabs>
          <w:tab w:val="num" w:pos="2880"/>
        </w:tabs>
        <w:ind w:left="2880" w:hanging="360"/>
      </w:pPr>
      <w:rPr>
        <w:rFonts w:ascii="Arial" w:hAnsi="Arial" w:hint="default"/>
      </w:rPr>
    </w:lvl>
    <w:lvl w:ilvl="4" w:tplc="83720E1E" w:tentative="1">
      <w:start w:val="1"/>
      <w:numFmt w:val="bullet"/>
      <w:lvlText w:val="•"/>
      <w:lvlJc w:val="left"/>
      <w:pPr>
        <w:tabs>
          <w:tab w:val="num" w:pos="3600"/>
        </w:tabs>
        <w:ind w:left="3600" w:hanging="360"/>
      </w:pPr>
      <w:rPr>
        <w:rFonts w:ascii="Arial" w:hAnsi="Arial" w:hint="default"/>
      </w:rPr>
    </w:lvl>
    <w:lvl w:ilvl="5" w:tplc="E9724896" w:tentative="1">
      <w:start w:val="1"/>
      <w:numFmt w:val="bullet"/>
      <w:lvlText w:val="•"/>
      <w:lvlJc w:val="left"/>
      <w:pPr>
        <w:tabs>
          <w:tab w:val="num" w:pos="4320"/>
        </w:tabs>
        <w:ind w:left="4320" w:hanging="360"/>
      </w:pPr>
      <w:rPr>
        <w:rFonts w:ascii="Arial" w:hAnsi="Arial" w:hint="default"/>
      </w:rPr>
    </w:lvl>
    <w:lvl w:ilvl="6" w:tplc="295E5000" w:tentative="1">
      <w:start w:val="1"/>
      <w:numFmt w:val="bullet"/>
      <w:lvlText w:val="•"/>
      <w:lvlJc w:val="left"/>
      <w:pPr>
        <w:tabs>
          <w:tab w:val="num" w:pos="5040"/>
        </w:tabs>
        <w:ind w:left="5040" w:hanging="360"/>
      </w:pPr>
      <w:rPr>
        <w:rFonts w:ascii="Arial" w:hAnsi="Arial" w:hint="default"/>
      </w:rPr>
    </w:lvl>
    <w:lvl w:ilvl="7" w:tplc="9AE83DE4" w:tentative="1">
      <w:start w:val="1"/>
      <w:numFmt w:val="bullet"/>
      <w:lvlText w:val="•"/>
      <w:lvlJc w:val="left"/>
      <w:pPr>
        <w:tabs>
          <w:tab w:val="num" w:pos="5760"/>
        </w:tabs>
        <w:ind w:left="5760" w:hanging="360"/>
      </w:pPr>
      <w:rPr>
        <w:rFonts w:ascii="Arial" w:hAnsi="Arial" w:hint="default"/>
      </w:rPr>
    </w:lvl>
    <w:lvl w:ilvl="8" w:tplc="DE5274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8B0E48"/>
    <w:multiLevelType w:val="hybridMultilevel"/>
    <w:tmpl w:val="06BA4A0C"/>
    <w:lvl w:ilvl="0" w:tplc="1B68AB58">
      <w:start w:val="1"/>
      <w:numFmt w:val="bullet"/>
      <w:lvlText w:val="•"/>
      <w:lvlJc w:val="left"/>
      <w:pPr>
        <w:tabs>
          <w:tab w:val="num" w:pos="720"/>
        </w:tabs>
        <w:ind w:left="720" w:hanging="360"/>
      </w:pPr>
      <w:rPr>
        <w:rFonts w:ascii="Arial" w:hAnsi="Arial" w:hint="default"/>
      </w:rPr>
    </w:lvl>
    <w:lvl w:ilvl="1" w:tplc="E08CD4B0" w:tentative="1">
      <w:start w:val="1"/>
      <w:numFmt w:val="bullet"/>
      <w:lvlText w:val="•"/>
      <w:lvlJc w:val="left"/>
      <w:pPr>
        <w:tabs>
          <w:tab w:val="num" w:pos="1440"/>
        </w:tabs>
        <w:ind w:left="1440" w:hanging="360"/>
      </w:pPr>
      <w:rPr>
        <w:rFonts w:ascii="Arial" w:hAnsi="Arial" w:hint="default"/>
      </w:rPr>
    </w:lvl>
    <w:lvl w:ilvl="2" w:tplc="E972375C" w:tentative="1">
      <w:start w:val="1"/>
      <w:numFmt w:val="bullet"/>
      <w:lvlText w:val="•"/>
      <w:lvlJc w:val="left"/>
      <w:pPr>
        <w:tabs>
          <w:tab w:val="num" w:pos="2160"/>
        </w:tabs>
        <w:ind w:left="2160" w:hanging="360"/>
      </w:pPr>
      <w:rPr>
        <w:rFonts w:ascii="Arial" w:hAnsi="Arial" w:hint="default"/>
      </w:rPr>
    </w:lvl>
    <w:lvl w:ilvl="3" w:tplc="0DEA37D0" w:tentative="1">
      <w:start w:val="1"/>
      <w:numFmt w:val="bullet"/>
      <w:lvlText w:val="•"/>
      <w:lvlJc w:val="left"/>
      <w:pPr>
        <w:tabs>
          <w:tab w:val="num" w:pos="2880"/>
        </w:tabs>
        <w:ind w:left="2880" w:hanging="360"/>
      </w:pPr>
      <w:rPr>
        <w:rFonts w:ascii="Arial" w:hAnsi="Arial" w:hint="default"/>
      </w:rPr>
    </w:lvl>
    <w:lvl w:ilvl="4" w:tplc="7E5E692C" w:tentative="1">
      <w:start w:val="1"/>
      <w:numFmt w:val="bullet"/>
      <w:lvlText w:val="•"/>
      <w:lvlJc w:val="left"/>
      <w:pPr>
        <w:tabs>
          <w:tab w:val="num" w:pos="3600"/>
        </w:tabs>
        <w:ind w:left="3600" w:hanging="360"/>
      </w:pPr>
      <w:rPr>
        <w:rFonts w:ascii="Arial" w:hAnsi="Arial" w:hint="default"/>
      </w:rPr>
    </w:lvl>
    <w:lvl w:ilvl="5" w:tplc="16A89BB8" w:tentative="1">
      <w:start w:val="1"/>
      <w:numFmt w:val="bullet"/>
      <w:lvlText w:val="•"/>
      <w:lvlJc w:val="left"/>
      <w:pPr>
        <w:tabs>
          <w:tab w:val="num" w:pos="4320"/>
        </w:tabs>
        <w:ind w:left="4320" w:hanging="360"/>
      </w:pPr>
      <w:rPr>
        <w:rFonts w:ascii="Arial" w:hAnsi="Arial" w:hint="default"/>
      </w:rPr>
    </w:lvl>
    <w:lvl w:ilvl="6" w:tplc="7E9A6B4E" w:tentative="1">
      <w:start w:val="1"/>
      <w:numFmt w:val="bullet"/>
      <w:lvlText w:val="•"/>
      <w:lvlJc w:val="left"/>
      <w:pPr>
        <w:tabs>
          <w:tab w:val="num" w:pos="5040"/>
        </w:tabs>
        <w:ind w:left="5040" w:hanging="360"/>
      </w:pPr>
      <w:rPr>
        <w:rFonts w:ascii="Arial" w:hAnsi="Arial" w:hint="default"/>
      </w:rPr>
    </w:lvl>
    <w:lvl w:ilvl="7" w:tplc="23E8FEF8" w:tentative="1">
      <w:start w:val="1"/>
      <w:numFmt w:val="bullet"/>
      <w:lvlText w:val="•"/>
      <w:lvlJc w:val="left"/>
      <w:pPr>
        <w:tabs>
          <w:tab w:val="num" w:pos="5760"/>
        </w:tabs>
        <w:ind w:left="5760" w:hanging="360"/>
      </w:pPr>
      <w:rPr>
        <w:rFonts w:ascii="Arial" w:hAnsi="Arial" w:hint="default"/>
      </w:rPr>
    </w:lvl>
    <w:lvl w:ilvl="8" w:tplc="FD0A0C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4"/>
  </w:num>
  <w:num w:numId="2" w16cid:durableId="767700499">
    <w:abstractNumId w:val="12"/>
  </w:num>
  <w:num w:numId="3" w16cid:durableId="980884213">
    <w:abstractNumId w:val="23"/>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4"/>
  </w:num>
  <w:num w:numId="10" w16cid:durableId="1699429464">
    <w:abstractNumId w:val="24"/>
  </w:num>
  <w:num w:numId="11" w16cid:durableId="1062680395">
    <w:abstractNumId w:val="1"/>
  </w:num>
  <w:num w:numId="12" w16cid:durableId="2118793171">
    <w:abstractNumId w:val="7"/>
  </w:num>
  <w:num w:numId="13" w16cid:durableId="1243837963">
    <w:abstractNumId w:val="6"/>
  </w:num>
  <w:num w:numId="14" w16cid:durableId="1296058729">
    <w:abstractNumId w:val="22"/>
  </w:num>
  <w:num w:numId="15" w16cid:durableId="1988124532">
    <w:abstractNumId w:val="24"/>
  </w:num>
  <w:num w:numId="16" w16cid:durableId="563225832">
    <w:abstractNumId w:val="24"/>
  </w:num>
  <w:num w:numId="17" w16cid:durableId="599262311">
    <w:abstractNumId w:val="17"/>
  </w:num>
  <w:num w:numId="18" w16cid:durableId="161748096">
    <w:abstractNumId w:val="25"/>
  </w:num>
  <w:num w:numId="19" w16cid:durableId="573126915">
    <w:abstractNumId w:val="24"/>
  </w:num>
  <w:num w:numId="20" w16cid:durableId="2004045065">
    <w:abstractNumId w:val="5"/>
  </w:num>
  <w:num w:numId="21" w16cid:durableId="584807274">
    <w:abstractNumId w:val="24"/>
  </w:num>
  <w:num w:numId="22" w16cid:durableId="181170718">
    <w:abstractNumId w:val="24"/>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1304196001">
    <w:abstractNumId w:val="13"/>
  </w:num>
  <w:num w:numId="33" w16cid:durableId="205214687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642"/>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EF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A53"/>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E6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AEC"/>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85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48B"/>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488"/>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4DF"/>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85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88726901">
      <w:bodyDiv w:val="1"/>
      <w:marLeft w:val="0"/>
      <w:marRight w:val="0"/>
      <w:marTop w:val="0"/>
      <w:marBottom w:val="0"/>
      <w:divBdr>
        <w:top w:val="none" w:sz="0" w:space="0" w:color="auto"/>
        <w:left w:val="none" w:sz="0" w:space="0" w:color="auto"/>
        <w:bottom w:val="none" w:sz="0" w:space="0" w:color="auto"/>
        <w:right w:val="none" w:sz="0" w:space="0" w:color="auto"/>
      </w:divBdr>
      <w:divsChild>
        <w:div w:id="1355767224">
          <w:marLeft w:val="360"/>
          <w:marRight w:val="0"/>
          <w:marTop w:val="200"/>
          <w:marBottom w:val="0"/>
          <w:divBdr>
            <w:top w:val="none" w:sz="0" w:space="0" w:color="auto"/>
            <w:left w:val="none" w:sz="0" w:space="0" w:color="auto"/>
            <w:bottom w:val="none" w:sz="0" w:space="0" w:color="auto"/>
            <w:right w:val="none" w:sz="0" w:space="0" w:color="auto"/>
          </w:divBdr>
        </w:div>
        <w:div w:id="1292638103">
          <w:marLeft w:val="360"/>
          <w:marRight w:val="0"/>
          <w:marTop w:val="200"/>
          <w:marBottom w:val="0"/>
          <w:divBdr>
            <w:top w:val="none" w:sz="0" w:space="0" w:color="auto"/>
            <w:left w:val="none" w:sz="0" w:space="0" w:color="auto"/>
            <w:bottom w:val="none" w:sz="0" w:space="0" w:color="auto"/>
            <w:right w:val="none" w:sz="0" w:space="0" w:color="auto"/>
          </w:divBdr>
        </w:div>
        <w:div w:id="412121779">
          <w:marLeft w:val="360"/>
          <w:marRight w:val="0"/>
          <w:marTop w:val="200"/>
          <w:marBottom w:val="0"/>
          <w:divBdr>
            <w:top w:val="none" w:sz="0" w:space="0" w:color="auto"/>
            <w:left w:val="none" w:sz="0" w:space="0" w:color="auto"/>
            <w:bottom w:val="none" w:sz="0" w:space="0" w:color="auto"/>
            <w:right w:val="none" w:sz="0" w:space="0" w:color="auto"/>
          </w:divBdr>
        </w:div>
        <w:div w:id="1109426112">
          <w:marLeft w:val="360"/>
          <w:marRight w:val="0"/>
          <w:marTop w:val="200"/>
          <w:marBottom w:val="0"/>
          <w:divBdr>
            <w:top w:val="none" w:sz="0" w:space="0" w:color="auto"/>
            <w:left w:val="none" w:sz="0" w:space="0" w:color="auto"/>
            <w:bottom w:val="none" w:sz="0" w:space="0" w:color="auto"/>
            <w:right w:val="none" w:sz="0" w:space="0" w:color="auto"/>
          </w:divBdr>
        </w:div>
      </w:divsChild>
    </w:div>
    <w:div w:id="749080941">
      <w:bodyDiv w:val="1"/>
      <w:marLeft w:val="0"/>
      <w:marRight w:val="0"/>
      <w:marTop w:val="0"/>
      <w:marBottom w:val="0"/>
      <w:divBdr>
        <w:top w:val="none" w:sz="0" w:space="0" w:color="auto"/>
        <w:left w:val="none" w:sz="0" w:space="0" w:color="auto"/>
        <w:bottom w:val="none" w:sz="0" w:space="0" w:color="auto"/>
        <w:right w:val="none" w:sz="0" w:space="0" w:color="auto"/>
      </w:divBdr>
      <w:divsChild>
        <w:div w:id="1471433502">
          <w:marLeft w:val="360"/>
          <w:marRight w:val="0"/>
          <w:marTop w:val="200"/>
          <w:marBottom w:val="0"/>
          <w:divBdr>
            <w:top w:val="none" w:sz="0" w:space="0" w:color="auto"/>
            <w:left w:val="none" w:sz="0" w:space="0" w:color="auto"/>
            <w:bottom w:val="none" w:sz="0" w:space="0" w:color="auto"/>
            <w:right w:val="none" w:sz="0" w:space="0" w:color="auto"/>
          </w:divBdr>
        </w:div>
        <w:div w:id="740519601">
          <w:marLeft w:val="360"/>
          <w:marRight w:val="0"/>
          <w:marTop w:val="200"/>
          <w:marBottom w:val="0"/>
          <w:divBdr>
            <w:top w:val="none" w:sz="0" w:space="0" w:color="auto"/>
            <w:left w:val="none" w:sz="0" w:space="0" w:color="auto"/>
            <w:bottom w:val="none" w:sz="0" w:space="0" w:color="auto"/>
            <w:right w:val="none" w:sz="0" w:space="0" w:color="auto"/>
          </w:divBdr>
        </w:div>
        <w:div w:id="436869688">
          <w:marLeft w:val="360"/>
          <w:marRight w:val="0"/>
          <w:marTop w:val="200"/>
          <w:marBottom w:val="0"/>
          <w:divBdr>
            <w:top w:val="none" w:sz="0" w:space="0" w:color="auto"/>
            <w:left w:val="none" w:sz="0" w:space="0" w:color="auto"/>
            <w:bottom w:val="none" w:sz="0" w:space="0" w:color="auto"/>
            <w:right w:val="none" w:sz="0" w:space="0" w:color="auto"/>
          </w:divBdr>
        </w:div>
        <w:div w:id="2052918077">
          <w:marLeft w:val="360"/>
          <w:marRight w:val="0"/>
          <w:marTop w:val="200"/>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1970039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8725392">
      <w:bodyDiv w:val="1"/>
      <w:marLeft w:val="0"/>
      <w:marRight w:val="0"/>
      <w:marTop w:val="0"/>
      <w:marBottom w:val="0"/>
      <w:divBdr>
        <w:top w:val="none" w:sz="0" w:space="0" w:color="auto"/>
        <w:left w:val="none" w:sz="0" w:space="0" w:color="auto"/>
        <w:bottom w:val="none" w:sz="0" w:space="0" w:color="auto"/>
        <w:right w:val="none" w:sz="0" w:space="0" w:color="auto"/>
      </w:divBdr>
      <w:divsChild>
        <w:div w:id="107240167">
          <w:marLeft w:val="360"/>
          <w:marRight w:val="0"/>
          <w:marTop w:val="200"/>
          <w:marBottom w:val="0"/>
          <w:divBdr>
            <w:top w:val="none" w:sz="0" w:space="0" w:color="auto"/>
            <w:left w:val="none" w:sz="0" w:space="0" w:color="auto"/>
            <w:bottom w:val="none" w:sz="0" w:space="0" w:color="auto"/>
            <w:right w:val="none" w:sz="0" w:space="0" w:color="auto"/>
          </w:divBdr>
        </w:div>
        <w:div w:id="245265720">
          <w:marLeft w:val="360"/>
          <w:marRight w:val="0"/>
          <w:marTop w:val="200"/>
          <w:marBottom w:val="0"/>
          <w:divBdr>
            <w:top w:val="none" w:sz="0" w:space="0" w:color="auto"/>
            <w:left w:val="none" w:sz="0" w:space="0" w:color="auto"/>
            <w:bottom w:val="none" w:sz="0" w:space="0" w:color="auto"/>
            <w:right w:val="none" w:sz="0" w:space="0" w:color="auto"/>
          </w:divBdr>
        </w:div>
        <w:div w:id="135757731">
          <w:marLeft w:val="360"/>
          <w:marRight w:val="0"/>
          <w:marTop w:val="200"/>
          <w:marBottom w:val="0"/>
          <w:divBdr>
            <w:top w:val="none" w:sz="0" w:space="0" w:color="auto"/>
            <w:left w:val="none" w:sz="0" w:space="0" w:color="auto"/>
            <w:bottom w:val="none" w:sz="0" w:space="0" w:color="auto"/>
            <w:right w:val="none" w:sz="0" w:space="0" w:color="auto"/>
          </w:divBdr>
        </w:div>
        <w:div w:id="1869173764">
          <w:marLeft w:val="360"/>
          <w:marRight w:val="0"/>
          <w:marTop w:val="200"/>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14567631">
      <w:bodyDiv w:val="1"/>
      <w:marLeft w:val="0"/>
      <w:marRight w:val="0"/>
      <w:marTop w:val="0"/>
      <w:marBottom w:val="0"/>
      <w:divBdr>
        <w:top w:val="none" w:sz="0" w:space="0" w:color="auto"/>
        <w:left w:val="none" w:sz="0" w:space="0" w:color="auto"/>
        <w:bottom w:val="none" w:sz="0" w:space="0" w:color="auto"/>
        <w:right w:val="none" w:sz="0" w:space="0" w:color="auto"/>
      </w:divBdr>
      <w:divsChild>
        <w:div w:id="1590190244">
          <w:marLeft w:val="360"/>
          <w:marRight w:val="0"/>
          <w:marTop w:val="200"/>
          <w:marBottom w:val="0"/>
          <w:divBdr>
            <w:top w:val="none" w:sz="0" w:space="0" w:color="auto"/>
            <w:left w:val="none" w:sz="0" w:space="0" w:color="auto"/>
            <w:bottom w:val="none" w:sz="0" w:space="0" w:color="auto"/>
            <w:right w:val="none" w:sz="0" w:space="0" w:color="auto"/>
          </w:divBdr>
        </w:div>
        <w:div w:id="933585506">
          <w:marLeft w:val="360"/>
          <w:marRight w:val="0"/>
          <w:marTop w:val="200"/>
          <w:marBottom w:val="0"/>
          <w:divBdr>
            <w:top w:val="none" w:sz="0" w:space="0" w:color="auto"/>
            <w:left w:val="none" w:sz="0" w:space="0" w:color="auto"/>
            <w:bottom w:val="none" w:sz="0" w:space="0" w:color="auto"/>
            <w:right w:val="none" w:sz="0" w:space="0" w:color="auto"/>
          </w:divBdr>
        </w:div>
        <w:div w:id="1814176464">
          <w:marLeft w:val="360"/>
          <w:marRight w:val="0"/>
          <w:marTop w:val="200"/>
          <w:marBottom w:val="0"/>
          <w:divBdr>
            <w:top w:val="none" w:sz="0" w:space="0" w:color="auto"/>
            <w:left w:val="none" w:sz="0" w:space="0" w:color="auto"/>
            <w:bottom w:val="none" w:sz="0" w:space="0" w:color="auto"/>
            <w:right w:val="none" w:sz="0" w:space="0" w:color="auto"/>
          </w:divBdr>
        </w:div>
        <w:div w:id="851140370">
          <w:marLeft w:val="360"/>
          <w:marRight w:val="0"/>
          <w:marTop w:val="200"/>
          <w:marBottom w:val="0"/>
          <w:divBdr>
            <w:top w:val="none" w:sz="0" w:space="0" w:color="auto"/>
            <w:left w:val="none" w:sz="0" w:space="0" w:color="auto"/>
            <w:bottom w:val="none" w:sz="0" w:space="0" w:color="auto"/>
            <w:right w:val="none" w:sz="0" w:space="0" w:color="auto"/>
          </w:divBdr>
        </w:div>
      </w:divsChild>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Apple</cp:lastModifiedBy>
  <cp:revision>2</cp:revision>
  <dcterms:created xsi:type="dcterms:W3CDTF">2023-04-25T11:35:00Z</dcterms:created>
  <dcterms:modified xsi:type="dcterms:W3CDTF">2023-04-25T11:35:00Z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